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A293F" w14:textId="77777777" w:rsidR="0089193F" w:rsidRPr="00114563" w:rsidRDefault="0089193F" w:rsidP="0089193F">
      <w:pPr>
        <w:pStyle w:val="Heading2"/>
        <w:ind w:right="-540"/>
      </w:pPr>
      <w:r w:rsidRPr="00CB3A2B">
        <w:t>Aristotelian Appeals: Logos, Ethos, and Pathos</w:t>
      </w:r>
    </w:p>
    <w:p w14:paraId="3EAD15F3" w14:textId="77777777" w:rsidR="0089193F" w:rsidRPr="0019135D" w:rsidRDefault="0089193F" w:rsidP="0089193F">
      <w:pPr>
        <w:ind w:right="-540"/>
        <w:rPr>
          <w:sz w:val="23"/>
          <w:szCs w:val="23"/>
        </w:rPr>
      </w:pPr>
      <w:r w:rsidRPr="0019135D">
        <w:rPr>
          <w:sz w:val="23"/>
          <w:szCs w:val="23"/>
        </w:rPr>
        <w:t>Whenever you read</w:t>
      </w:r>
      <w:r>
        <w:rPr>
          <w:sz w:val="23"/>
          <w:szCs w:val="23"/>
        </w:rPr>
        <w:t xml:space="preserve"> or hear</w:t>
      </w:r>
      <w:r w:rsidRPr="0019135D">
        <w:rPr>
          <w:sz w:val="23"/>
          <w:szCs w:val="23"/>
        </w:rPr>
        <w:t xml:space="preserve"> an argument you must ask your</w:t>
      </w:r>
      <w:r>
        <w:rPr>
          <w:sz w:val="23"/>
          <w:szCs w:val="23"/>
        </w:rPr>
        <w:t>self, “Is this persuasive? I</w:t>
      </w:r>
      <w:r w:rsidRPr="0019135D">
        <w:rPr>
          <w:sz w:val="23"/>
          <w:szCs w:val="23"/>
        </w:rPr>
        <w:t>f so,</w:t>
      </w:r>
      <w:r>
        <w:rPr>
          <w:sz w:val="23"/>
          <w:szCs w:val="23"/>
        </w:rPr>
        <w:t xml:space="preserve"> why? And to whom?” </w:t>
      </w:r>
      <w:r w:rsidRPr="0019135D">
        <w:rPr>
          <w:sz w:val="23"/>
          <w:szCs w:val="23"/>
        </w:rPr>
        <w:t xml:space="preserve">There are </w:t>
      </w:r>
      <w:r>
        <w:rPr>
          <w:sz w:val="23"/>
          <w:szCs w:val="23"/>
        </w:rPr>
        <w:t>many</w:t>
      </w:r>
      <w:r w:rsidRPr="0019135D">
        <w:rPr>
          <w:sz w:val="23"/>
          <w:szCs w:val="23"/>
        </w:rPr>
        <w:t xml:space="preserve"> ways to appeal to an audi</w:t>
      </w:r>
      <w:r>
        <w:rPr>
          <w:sz w:val="23"/>
          <w:szCs w:val="23"/>
        </w:rPr>
        <w:t>ence.</w:t>
      </w:r>
      <w:r w:rsidRPr="0019135D">
        <w:rPr>
          <w:sz w:val="23"/>
          <w:szCs w:val="23"/>
        </w:rPr>
        <w:t xml:space="preserve"> Among them are appealing to </w:t>
      </w:r>
      <w:r w:rsidRPr="00114563">
        <w:rPr>
          <w:i/>
          <w:sz w:val="23"/>
          <w:szCs w:val="23"/>
        </w:rPr>
        <w:t>logos</w:t>
      </w:r>
      <w:r w:rsidRPr="0019135D">
        <w:rPr>
          <w:sz w:val="23"/>
          <w:szCs w:val="23"/>
        </w:rPr>
        <w:t xml:space="preserve">, </w:t>
      </w:r>
      <w:r w:rsidRPr="00114563">
        <w:rPr>
          <w:i/>
          <w:sz w:val="23"/>
          <w:szCs w:val="23"/>
        </w:rPr>
        <w:t>ethos</w:t>
      </w:r>
      <w:r w:rsidRPr="0019135D">
        <w:rPr>
          <w:sz w:val="23"/>
          <w:szCs w:val="23"/>
        </w:rPr>
        <w:t xml:space="preserve">, and </w:t>
      </w:r>
      <w:r w:rsidRPr="00114563">
        <w:rPr>
          <w:i/>
          <w:sz w:val="23"/>
          <w:szCs w:val="23"/>
        </w:rPr>
        <w:t>pathos</w:t>
      </w:r>
      <w:r>
        <w:rPr>
          <w:sz w:val="23"/>
          <w:szCs w:val="23"/>
        </w:rPr>
        <w:t xml:space="preserve">. </w:t>
      </w:r>
      <w:r w:rsidRPr="0019135D">
        <w:rPr>
          <w:sz w:val="23"/>
          <w:szCs w:val="23"/>
        </w:rPr>
        <w:t xml:space="preserve">These appeals are </w:t>
      </w:r>
      <w:r>
        <w:rPr>
          <w:sz w:val="23"/>
          <w:szCs w:val="23"/>
        </w:rPr>
        <w:t>identifiable</w:t>
      </w:r>
      <w:r w:rsidRPr="0019135D">
        <w:rPr>
          <w:sz w:val="23"/>
          <w:szCs w:val="23"/>
        </w:rPr>
        <w:t xml:space="preserve"> in almost all arguments.</w:t>
      </w:r>
    </w:p>
    <w:p w14:paraId="112FF0BC" w14:textId="77777777" w:rsidR="0089193F" w:rsidRPr="0019135D" w:rsidRDefault="0089193F" w:rsidP="0089193F">
      <w:pPr>
        <w:ind w:right="-540"/>
        <w:rPr>
          <w:sz w:val="23"/>
          <w:szCs w:val="23"/>
        </w:rPr>
      </w:pPr>
    </w:p>
    <w:tbl>
      <w:tblPr>
        <w:tblW w:w="10275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7"/>
        <w:gridCol w:w="3595"/>
        <w:gridCol w:w="3273"/>
      </w:tblGrid>
      <w:tr w:rsidR="0089193F" w:rsidRPr="0019135D" w14:paraId="200110FD" w14:textId="77777777" w:rsidTr="006B0F33">
        <w:trPr>
          <w:trHeight w:val="735"/>
        </w:trPr>
        <w:tc>
          <w:tcPr>
            <w:tcW w:w="34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30D86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  <w:p w14:paraId="7C9AB47A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To Appeal to LOGOS</w:t>
            </w:r>
          </w:p>
          <w:p w14:paraId="560AB49D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(</w:t>
            </w:r>
            <w:proofErr w:type="gramStart"/>
            <w:r w:rsidRPr="00A77D8A">
              <w:rPr>
                <w:b/>
                <w:sz w:val="21"/>
                <w:szCs w:val="21"/>
              </w:rPr>
              <w:t>logic</w:t>
            </w:r>
            <w:proofErr w:type="gramEnd"/>
            <w:r w:rsidRPr="00A77D8A">
              <w:rPr>
                <w:b/>
                <w:sz w:val="21"/>
                <w:szCs w:val="21"/>
              </w:rPr>
              <w:t>, reasoning)</w:t>
            </w:r>
          </w:p>
        </w:tc>
        <w:tc>
          <w:tcPr>
            <w:tcW w:w="35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FD475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14:paraId="21467C26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To Develop or Appeal to ETHOS</w:t>
            </w:r>
          </w:p>
          <w:p w14:paraId="28158A29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(</w:t>
            </w:r>
            <w:proofErr w:type="gramStart"/>
            <w:r w:rsidRPr="00A77D8A">
              <w:rPr>
                <w:b/>
                <w:sz w:val="21"/>
                <w:szCs w:val="21"/>
              </w:rPr>
              <w:t>character</w:t>
            </w:r>
            <w:proofErr w:type="gramEnd"/>
            <w:r w:rsidRPr="00A77D8A">
              <w:rPr>
                <w:b/>
                <w:sz w:val="21"/>
                <w:szCs w:val="21"/>
              </w:rPr>
              <w:t>, ethics)</w:t>
            </w:r>
          </w:p>
        </w:tc>
        <w:tc>
          <w:tcPr>
            <w:tcW w:w="327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1FDE4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14:paraId="1355FA1C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 xml:space="preserve">To Appeal to PATHOS </w:t>
            </w:r>
          </w:p>
          <w:p w14:paraId="6468B553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(</w:t>
            </w:r>
            <w:proofErr w:type="gramStart"/>
            <w:r w:rsidRPr="00A77D8A">
              <w:rPr>
                <w:b/>
                <w:sz w:val="21"/>
                <w:szCs w:val="21"/>
              </w:rPr>
              <w:t>emotion</w:t>
            </w:r>
            <w:proofErr w:type="gramEnd"/>
            <w:r w:rsidRPr="00A77D8A">
              <w:rPr>
                <w:b/>
                <w:sz w:val="21"/>
                <w:szCs w:val="21"/>
              </w:rPr>
              <w:t>)</w:t>
            </w:r>
          </w:p>
        </w:tc>
      </w:tr>
      <w:tr w:rsidR="0089193F" w:rsidRPr="0019135D" w14:paraId="6E563FD4" w14:textId="77777777" w:rsidTr="006B0F33">
        <w:trPr>
          <w:trHeight w:val="715"/>
        </w:trPr>
        <w:tc>
          <w:tcPr>
            <w:tcW w:w="3407" w:type="dxa"/>
            <w:tcBorders>
              <w:top w:val="single" w:sz="2" w:space="0" w:color="000000"/>
              <w:bottom w:val="single" w:sz="18" w:space="0" w:color="000000"/>
            </w:tcBorders>
          </w:tcPr>
          <w:p w14:paraId="63F57999" w14:textId="77777777" w:rsidR="0089193F" w:rsidRDefault="0089193F" w:rsidP="006B0F33">
            <w:pPr>
              <w:ind w:right="-540"/>
              <w:rPr>
                <w:sz w:val="21"/>
                <w:szCs w:val="21"/>
              </w:rPr>
            </w:pPr>
          </w:p>
          <w:p w14:paraId="5B46CB8E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 xml:space="preserve">: </w:t>
            </w:r>
            <w:proofErr w:type="gramStart"/>
            <w:r w:rsidRPr="00A77D8A">
              <w:rPr>
                <w:sz w:val="21"/>
                <w:szCs w:val="21"/>
              </w:rPr>
              <w:t>the</w:t>
            </w:r>
            <w:proofErr w:type="gramEnd"/>
            <w:r w:rsidRPr="00A77D8A">
              <w:rPr>
                <w:sz w:val="21"/>
                <w:szCs w:val="21"/>
              </w:rPr>
              <w:t xml:space="preserve"> argument itself; the reasoning the author uses; logical evidence</w:t>
            </w:r>
          </w:p>
        </w:tc>
        <w:tc>
          <w:tcPr>
            <w:tcW w:w="3595" w:type="dxa"/>
            <w:tcBorders>
              <w:top w:val="single" w:sz="2" w:space="0" w:color="000000"/>
              <w:bottom w:val="single" w:sz="18" w:space="0" w:color="000000"/>
            </w:tcBorders>
          </w:tcPr>
          <w:p w14:paraId="45FBF2C8" w14:textId="77777777" w:rsidR="0089193F" w:rsidRDefault="0089193F" w:rsidP="006B0F33">
            <w:pPr>
              <w:ind w:right="-540"/>
              <w:rPr>
                <w:sz w:val="21"/>
                <w:szCs w:val="21"/>
              </w:rPr>
            </w:pPr>
          </w:p>
          <w:p w14:paraId="6D9DC795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 xml:space="preserve">: </w:t>
            </w:r>
            <w:proofErr w:type="gramStart"/>
            <w:r w:rsidRPr="00A77D8A">
              <w:rPr>
                <w:sz w:val="21"/>
                <w:szCs w:val="21"/>
              </w:rPr>
              <w:t>how</w:t>
            </w:r>
            <w:proofErr w:type="gramEnd"/>
            <w:r w:rsidRPr="00A77D8A">
              <w:rPr>
                <w:sz w:val="21"/>
                <w:szCs w:val="21"/>
              </w:rPr>
              <w:t xml:space="preserve"> an author builds credibility &amp; trustworthiness </w:t>
            </w:r>
          </w:p>
        </w:tc>
        <w:tc>
          <w:tcPr>
            <w:tcW w:w="3273" w:type="dxa"/>
            <w:tcBorders>
              <w:top w:val="single" w:sz="2" w:space="0" w:color="000000"/>
              <w:bottom w:val="single" w:sz="18" w:space="0" w:color="000000"/>
            </w:tcBorders>
          </w:tcPr>
          <w:p w14:paraId="58FE92AB" w14:textId="77777777" w:rsidR="0089193F" w:rsidRDefault="0089193F" w:rsidP="006B0F33">
            <w:pPr>
              <w:ind w:right="-540"/>
              <w:rPr>
                <w:sz w:val="21"/>
                <w:szCs w:val="21"/>
              </w:rPr>
            </w:pPr>
          </w:p>
          <w:p w14:paraId="394D878F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 xml:space="preserve">: </w:t>
            </w:r>
            <w:proofErr w:type="gramStart"/>
            <w:r w:rsidRPr="00A77D8A">
              <w:rPr>
                <w:sz w:val="21"/>
                <w:szCs w:val="21"/>
              </w:rPr>
              <w:t>words</w:t>
            </w:r>
            <w:proofErr w:type="gramEnd"/>
            <w:r w:rsidRPr="00A77D8A">
              <w:rPr>
                <w:sz w:val="21"/>
                <w:szCs w:val="21"/>
              </w:rPr>
              <w:t xml:space="preserve"> or passages an author uses to activate emotions</w:t>
            </w:r>
          </w:p>
        </w:tc>
      </w:tr>
      <w:tr w:rsidR="0089193F" w:rsidRPr="0019135D" w14:paraId="6D66D2E8" w14:textId="77777777" w:rsidTr="006B0F33">
        <w:trPr>
          <w:trHeight w:val="510"/>
        </w:trPr>
        <w:tc>
          <w:tcPr>
            <w:tcW w:w="3407" w:type="dxa"/>
            <w:tcBorders>
              <w:top w:val="single" w:sz="18" w:space="0" w:color="000000"/>
              <w:bottom w:val="single" w:sz="4" w:space="0" w:color="000000"/>
            </w:tcBorders>
          </w:tcPr>
          <w:p w14:paraId="7DDBA1C5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14:paraId="6DDA0936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Types of LOGOS Appeals</w:t>
            </w:r>
          </w:p>
        </w:tc>
        <w:tc>
          <w:tcPr>
            <w:tcW w:w="3595" w:type="dxa"/>
            <w:tcBorders>
              <w:top w:val="single" w:sz="18" w:space="0" w:color="000000"/>
              <w:bottom w:val="single" w:sz="4" w:space="0" w:color="000000"/>
            </w:tcBorders>
          </w:tcPr>
          <w:p w14:paraId="60A04631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14:paraId="7FB19D17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Ways to Develop ETHOS</w:t>
            </w:r>
          </w:p>
        </w:tc>
        <w:tc>
          <w:tcPr>
            <w:tcW w:w="3273" w:type="dxa"/>
            <w:tcBorders>
              <w:top w:val="single" w:sz="18" w:space="0" w:color="000000"/>
              <w:bottom w:val="single" w:sz="4" w:space="0" w:color="000000"/>
            </w:tcBorders>
          </w:tcPr>
          <w:p w14:paraId="5BE46CA5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14:paraId="6528E85B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Types of PATHOS Appeals</w:t>
            </w:r>
          </w:p>
        </w:tc>
      </w:tr>
      <w:tr w:rsidR="0089193F" w:rsidRPr="0019135D" w14:paraId="0CC21E2B" w14:textId="77777777" w:rsidTr="006B0F33">
        <w:trPr>
          <w:trHeight w:val="3817"/>
        </w:trPr>
        <w:tc>
          <w:tcPr>
            <w:tcW w:w="3407" w:type="dxa"/>
            <w:tcBorders>
              <w:bottom w:val="single" w:sz="18" w:space="0" w:color="000000"/>
            </w:tcBorders>
          </w:tcPr>
          <w:p w14:paraId="1CB6050C" w14:textId="77777777" w:rsidR="0089193F" w:rsidRDefault="0089193F" w:rsidP="006B0F33">
            <w:pPr>
              <w:pStyle w:val="ListParagraph"/>
              <w:ind w:right="-540"/>
              <w:rPr>
                <w:sz w:val="21"/>
                <w:szCs w:val="21"/>
              </w:rPr>
            </w:pPr>
          </w:p>
          <w:p w14:paraId="0DEC4D18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Theories / scientific facts</w:t>
            </w:r>
          </w:p>
          <w:p w14:paraId="3D5639E1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Indicated meanings or reasons  (because…)</w:t>
            </w:r>
          </w:p>
          <w:p w14:paraId="2FF7545E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Literal or historical analogies</w:t>
            </w:r>
          </w:p>
          <w:p w14:paraId="3E6C55A4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Definitions</w:t>
            </w:r>
          </w:p>
          <w:p w14:paraId="5D1E56F5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Factual data &amp; statistics</w:t>
            </w:r>
          </w:p>
          <w:p w14:paraId="6FFAE1CC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Quotations</w:t>
            </w:r>
          </w:p>
          <w:p w14:paraId="06B5456D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Citations from experts &amp; authorities</w:t>
            </w:r>
          </w:p>
          <w:p w14:paraId="733512E1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Informed opinions</w:t>
            </w:r>
          </w:p>
          <w:p w14:paraId="562228FD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Examples (real life examples)</w:t>
            </w:r>
          </w:p>
          <w:p w14:paraId="778B576F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Personal anecdotes</w:t>
            </w:r>
          </w:p>
          <w:p w14:paraId="37A6423F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</w:p>
        </w:tc>
        <w:tc>
          <w:tcPr>
            <w:tcW w:w="3595" w:type="dxa"/>
            <w:tcBorders>
              <w:bottom w:val="single" w:sz="18" w:space="0" w:color="000000"/>
            </w:tcBorders>
          </w:tcPr>
          <w:p w14:paraId="00484DB9" w14:textId="77777777" w:rsidR="0089193F" w:rsidRDefault="0089193F" w:rsidP="006B0F33">
            <w:pPr>
              <w:pStyle w:val="ListParagraph"/>
              <w:ind w:right="-540"/>
              <w:rPr>
                <w:sz w:val="21"/>
                <w:szCs w:val="21"/>
              </w:rPr>
            </w:pPr>
          </w:p>
          <w:p w14:paraId="70DA55B8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Author’s profession / background</w:t>
            </w:r>
          </w:p>
          <w:p w14:paraId="031777CC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Author’s publication</w:t>
            </w:r>
          </w:p>
          <w:p w14:paraId="365B8A07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Appearing</w:t>
            </w:r>
            <w:r w:rsidRPr="00A77D8A">
              <w:rPr>
                <w:sz w:val="21"/>
                <w:szCs w:val="21"/>
              </w:rPr>
              <w:t xml:space="preserve"> sincere, fair minded, knowledgeable </w:t>
            </w:r>
          </w:p>
          <w:p w14:paraId="70CAFBDE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Conceding</w:t>
            </w:r>
            <w:r w:rsidRPr="00A77D8A">
              <w:rPr>
                <w:sz w:val="21"/>
                <w:szCs w:val="21"/>
              </w:rPr>
              <w:t xml:space="preserve"> to opposition</w:t>
            </w:r>
            <w:r>
              <w:rPr>
                <w:sz w:val="21"/>
                <w:szCs w:val="21"/>
              </w:rPr>
              <w:t xml:space="preserve"> where appropriate</w:t>
            </w:r>
          </w:p>
          <w:p w14:paraId="362D75E0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Morally / ethically likeable</w:t>
            </w:r>
          </w:p>
          <w:p w14:paraId="090FE087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Appropriate language for audience and subject</w:t>
            </w:r>
          </w:p>
          <w:p w14:paraId="41255FD4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Appropriate vocabulary</w:t>
            </w:r>
          </w:p>
          <w:p w14:paraId="51DA181D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Correct grammar</w:t>
            </w:r>
          </w:p>
          <w:p w14:paraId="36DBF10B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Professional format</w:t>
            </w:r>
          </w:p>
          <w:p w14:paraId="2EBB0B0A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</w:p>
        </w:tc>
        <w:tc>
          <w:tcPr>
            <w:tcW w:w="3273" w:type="dxa"/>
            <w:tcBorders>
              <w:bottom w:val="single" w:sz="18" w:space="0" w:color="000000"/>
            </w:tcBorders>
          </w:tcPr>
          <w:p w14:paraId="58A34284" w14:textId="77777777" w:rsidR="0089193F" w:rsidRDefault="0089193F" w:rsidP="006B0F33">
            <w:pPr>
              <w:pStyle w:val="ListParagraph"/>
              <w:ind w:right="-540"/>
              <w:rPr>
                <w:sz w:val="21"/>
                <w:szCs w:val="21"/>
              </w:rPr>
            </w:pPr>
          </w:p>
          <w:p w14:paraId="0A3BB186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 xml:space="preserve">Emotionally loaded language </w:t>
            </w:r>
          </w:p>
          <w:p w14:paraId="2F1626EA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Vivid descriptions</w:t>
            </w:r>
          </w:p>
          <w:p w14:paraId="7FDFB28D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 xml:space="preserve">Emotional examples </w:t>
            </w:r>
          </w:p>
          <w:p w14:paraId="43D1B95E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Anecdotes, testimonies, or n</w:t>
            </w:r>
            <w:r w:rsidRPr="00A77D8A">
              <w:rPr>
                <w:sz w:val="21"/>
                <w:szCs w:val="21"/>
              </w:rPr>
              <w:t>arratives about emotional experiences or events</w:t>
            </w:r>
          </w:p>
          <w:p w14:paraId="5FC12596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Figurative language</w:t>
            </w:r>
          </w:p>
          <w:p w14:paraId="0FCBCE8D" w14:textId="77777777" w:rsidR="0089193F" w:rsidRPr="00A77D8A" w:rsidRDefault="0089193F" w:rsidP="0089193F">
            <w:pPr>
              <w:pStyle w:val="ListParagraph"/>
              <w:numPr>
                <w:ilvl w:val="0"/>
                <w:numId w:val="1"/>
              </w:num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Emotional tone (humor, sarcasm, disappointment, excitement, etc.)</w:t>
            </w:r>
          </w:p>
          <w:p w14:paraId="18BFAFA5" w14:textId="77777777" w:rsidR="0089193F" w:rsidRPr="00A77D8A" w:rsidRDefault="0089193F" w:rsidP="006B0F33">
            <w:pPr>
              <w:pStyle w:val="ListParagraph"/>
              <w:ind w:left="360" w:right="-540"/>
              <w:rPr>
                <w:sz w:val="21"/>
                <w:szCs w:val="21"/>
              </w:rPr>
            </w:pPr>
          </w:p>
        </w:tc>
      </w:tr>
      <w:tr w:rsidR="0089193F" w:rsidRPr="0019135D" w14:paraId="0716B5DD" w14:textId="77777777" w:rsidTr="006B0F33">
        <w:trPr>
          <w:trHeight w:val="490"/>
        </w:trPr>
        <w:tc>
          <w:tcPr>
            <w:tcW w:w="3407" w:type="dxa"/>
            <w:tcBorders>
              <w:top w:val="single" w:sz="18" w:space="0" w:color="000000"/>
              <w:bottom w:val="single" w:sz="2" w:space="0" w:color="000000"/>
            </w:tcBorders>
          </w:tcPr>
          <w:p w14:paraId="0E0C0734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14:paraId="7E7D167A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 xml:space="preserve">Effect on </w:t>
            </w:r>
            <w:r w:rsidRPr="00A77D8A">
              <w:rPr>
                <w:b/>
                <w:sz w:val="21"/>
                <w:szCs w:val="21"/>
                <w:u w:val="single"/>
              </w:rPr>
              <w:t>Audience</w:t>
            </w:r>
          </w:p>
        </w:tc>
        <w:tc>
          <w:tcPr>
            <w:tcW w:w="3595" w:type="dxa"/>
            <w:tcBorders>
              <w:top w:val="single" w:sz="18" w:space="0" w:color="000000"/>
              <w:bottom w:val="single" w:sz="2" w:space="0" w:color="000000"/>
            </w:tcBorders>
          </w:tcPr>
          <w:p w14:paraId="1FD43631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14:paraId="2B2FB09F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 xml:space="preserve">Effect on </w:t>
            </w:r>
            <w:r w:rsidRPr="00A77D8A">
              <w:rPr>
                <w:b/>
                <w:sz w:val="21"/>
                <w:szCs w:val="21"/>
                <w:u w:val="single"/>
              </w:rPr>
              <w:t>Audience</w:t>
            </w:r>
          </w:p>
        </w:tc>
        <w:tc>
          <w:tcPr>
            <w:tcW w:w="3273" w:type="dxa"/>
            <w:tcBorders>
              <w:top w:val="single" w:sz="18" w:space="0" w:color="000000"/>
              <w:bottom w:val="single" w:sz="2" w:space="0" w:color="000000"/>
            </w:tcBorders>
          </w:tcPr>
          <w:p w14:paraId="5F978DCA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14:paraId="542769E7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 xml:space="preserve">Effect on </w:t>
            </w:r>
            <w:r w:rsidRPr="00A77D8A">
              <w:rPr>
                <w:b/>
                <w:sz w:val="21"/>
                <w:szCs w:val="21"/>
                <w:u w:val="single"/>
              </w:rPr>
              <w:t>Audience</w:t>
            </w:r>
          </w:p>
        </w:tc>
      </w:tr>
      <w:tr w:rsidR="0089193F" w:rsidRPr="0019135D" w14:paraId="49173577" w14:textId="77777777" w:rsidTr="006B0F33">
        <w:trPr>
          <w:trHeight w:val="1469"/>
        </w:trPr>
        <w:tc>
          <w:tcPr>
            <w:tcW w:w="3407" w:type="dxa"/>
            <w:tcBorders>
              <w:top w:val="single" w:sz="2" w:space="0" w:color="000000"/>
              <w:bottom w:val="single" w:sz="18" w:space="0" w:color="000000"/>
            </w:tcBorders>
          </w:tcPr>
          <w:p w14:paraId="0D4B84D4" w14:textId="77777777" w:rsidR="0089193F" w:rsidRDefault="0089193F" w:rsidP="006B0F33">
            <w:pPr>
              <w:ind w:right="-540"/>
              <w:rPr>
                <w:sz w:val="21"/>
                <w:szCs w:val="21"/>
              </w:rPr>
            </w:pPr>
          </w:p>
          <w:p w14:paraId="25336C91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Evokes a cognitive, rational response.  Readers get a sense of, “Oh, that makes sense” or “Hmm, that really doesn’t prove anything.”</w:t>
            </w:r>
          </w:p>
        </w:tc>
        <w:tc>
          <w:tcPr>
            <w:tcW w:w="3595" w:type="dxa"/>
            <w:tcBorders>
              <w:top w:val="single" w:sz="2" w:space="0" w:color="000000"/>
              <w:bottom w:val="single" w:sz="18" w:space="0" w:color="000000"/>
            </w:tcBorders>
          </w:tcPr>
          <w:p w14:paraId="40D8CF51" w14:textId="77777777" w:rsidR="0089193F" w:rsidRDefault="0089193F" w:rsidP="006B0F33">
            <w:pPr>
              <w:ind w:right="-540"/>
              <w:rPr>
                <w:sz w:val="21"/>
                <w:szCs w:val="21"/>
              </w:rPr>
            </w:pPr>
          </w:p>
          <w:p w14:paraId="58962BB1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Helps reader to see the author as reliable, trustwo</w:t>
            </w:r>
            <w:r>
              <w:rPr>
                <w:sz w:val="21"/>
                <w:szCs w:val="21"/>
              </w:rPr>
              <w:t xml:space="preserve">rthy, competent, and credible. </w:t>
            </w:r>
            <w:r w:rsidRPr="00A77D8A">
              <w:rPr>
                <w:sz w:val="21"/>
                <w:szCs w:val="21"/>
              </w:rPr>
              <w:t>The reader might respect the author or his/her views.</w:t>
            </w:r>
          </w:p>
          <w:p w14:paraId="14171A44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</w:p>
        </w:tc>
        <w:tc>
          <w:tcPr>
            <w:tcW w:w="3273" w:type="dxa"/>
            <w:tcBorders>
              <w:top w:val="single" w:sz="2" w:space="0" w:color="000000"/>
              <w:bottom w:val="single" w:sz="18" w:space="0" w:color="000000"/>
            </w:tcBorders>
          </w:tcPr>
          <w:p w14:paraId="55576AEF" w14:textId="77777777" w:rsidR="0089193F" w:rsidRDefault="0089193F" w:rsidP="006B0F33">
            <w:pPr>
              <w:ind w:right="-540"/>
              <w:rPr>
                <w:sz w:val="21"/>
                <w:szCs w:val="21"/>
              </w:rPr>
            </w:pPr>
          </w:p>
          <w:p w14:paraId="15AE3090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Evokes an emotional response.  Persuasion by emotion.</w:t>
            </w:r>
          </w:p>
          <w:p w14:paraId="5689C0B4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(</w:t>
            </w:r>
            <w:proofErr w:type="gramStart"/>
            <w:r w:rsidRPr="00A77D8A">
              <w:rPr>
                <w:sz w:val="21"/>
                <w:szCs w:val="21"/>
              </w:rPr>
              <w:t>usually</w:t>
            </w:r>
            <w:proofErr w:type="gramEnd"/>
            <w:r w:rsidRPr="00A77D8A">
              <w:rPr>
                <w:sz w:val="21"/>
                <w:szCs w:val="21"/>
              </w:rPr>
              <w:t xml:space="preserve"> evoking fear, sympathy, empathy, anger,)</w:t>
            </w:r>
          </w:p>
          <w:p w14:paraId="7DB2A2A9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</w:p>
        </w:tc>
      </w:tr>
      <w:tr w:rsidR="0089193F" w:rsidRPr="0019135D" w14:paraId="16D70EE3" w14:textId="77777777" w:rsidTr="006B0F33">
        <w:trPr>
          <w:trHeight w:val="490"/>
        </w:trPr>
        <w:tc>
          <w:tcPr>
            <w:tcW w:w="3407" w:type="dxa"/>
            <w:tcBorders>
              <w:top w:val="single" w:sz="18" w:space="0" w:color="000000"/>
              <w:bottom w:val="single" w:sz="4" w:space="0" w:color="000000"/>
            </w:tcBorders>
          </w:tcPr>
          <w:p w14:paraId="1A6AEAAD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14:paraId="12B9BD87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How to Talk About It</w:t>
            </w:r>
          </w:p>
        </w:tc>
        <w:tc>
          <w:tcPr>
            <w:tcW w:w="3595" w:type="dxa"/>
            <w:tcBorders>
              <w:top w:val="single" w:sz="18" w:space="0" w:color="000000"/>
              <w:bottom w:val="single" w:sz="4" w:space="0" w:color="000000"/>
            </w:tcBorders>
          </w:tcPr>
          <w:p w14:paraId="7AA88CE0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14:paraId="2F316D5B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How to Talk About It</w:t>
            </w:r>
          </w:p>
        </w:tc>
        <w:tc>
          <w:tcPr>
            <w:tcW w:w="3273" w:type="dxa"/>
            <w:tcBorders>
              <w:top w:val="single" w:sz="18" w:space="0" w:color="000000"/>
              <w:bottom w:val="single" w:sz="4" w:space="0" w:color="000000"/>
            </w:tcBorders>
          </w:tcPr>
          <w:p w14:paraId="163CF8D4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</w:p>
          <w:p w14:paraId="3C229C68" w14:textId="77777777" w:rsidR="0089193F" w:rsidRPr="00A77D8A" w:rsidRDefault="0089193F" w:rsidP="006B0F33">
            <w:pPr>
              <w:ind w:right="-540"/>
              <w:jc w:val="center"/>
              <w:rPr>
                <w:b/>
                <w:sz w:val="21"/>
                <w:szCs w:val="21"/>
              </w:rPr>
            </w:pPr>
            <w:r w:rsidRPr="00A77D8A">
              <w:rPr>
                <w:b/>
                <w:sz w:val="21"/>
                <w:szCs w:val="21"/>
              </w:rPr>
              <w:t>How to Talk About It</w:t>
            </w:r>
          </w:p>
        </w:tc>
      </w:tr>
      <w:tr w:rsidR="0089193F" w:rsidRPr="0019135D" w14:paraId="7564167C" w14:textId="77777777" w:rsidTr="006B0F33">
        <w:trPr>
          <w:trHeight w:val="2470"/>
        </w:trPr>
        <w:tc>
          <w:tcPr>
            <w:tcW w:w="3407" w:type="dxa"/>
            <w:tcBorders>
              <w:top w:val="single" w:sz="4" w:space="0" w:color="000000"/>
              <w:bottom w:val="single" w:sz="18" w:space="0" w:color="000000"/>
            </w:tcBorders>
          </w:tcPr>
          <w:p w14:paraId="5362CA6B" w14:textId="77777777" w:rsidR="0089193F" w:rsidRDefault="0089193F" w:rsidP="006B0F33">
            <w:pPr>
              <w:ind w:right="-540"/>
              <w:rPr>
                <w:sz w:val="21"/>
                <w:szCs w:val="21"/>
              </w:rPr>
            </w:pPr>
          </w:p>
          <w:p w14:paraId="0FFC4E4E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The author appeals to logos by defining relevant terms and then supports his claim with numerous citations from authorities.</w:t>
            </w:r>
          </w:p>
          <w:p w14:paraId="5D54BB3C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</w:p>
          <w:p w14:paraId="169FCFC8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The author’s use of statistics and expert testimony are very convincing logos appeals.</w:t>
            </w:r>
          </w:p>
          <w:p w14:paraId="0BF2DD1D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</w:p>
        </w:tc>
        <w:tc>
          <w:tcPr>
            <w:tcW w:w="3595" w:type="dxa"/>
            <w:tcBorders>
              <w:top w:val="single" w:sz="4" w:space="0" w:color="000000"/>
              <w:bottom w:val="single" w:sz="18" w:space="0" w:color="000000"/>
            </w:tcBorders>
          </w:tcPr>
          <w:p w14:paraId="7F195083" w14:textId="77777777" w:rsidR="0089193F" w:rsidRDefault="0089193F" w:rsidP="006B0F33">
            <w:pPr>
              <w:ind w:right="-540"/>
              <w:rPr>
                <w:sz w:val="21"/>
                <w:szCs w:val="21"/>
              </w:rPr>
            </w:pPr>
          </w:p>
          <w:p w14:paraId="0932AD86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 xml:space="preserve">Through his use of scientific terminology, the author builds his ethos by </w:t>
            </w:r>
            <w:r>
              <w:rPr>
                <w:sz w:val="21"/>
                <w:szCs w:val="21"/>
              </w:rPr>
              <w:t>demonstrating expertise</w:t>
            </w:r>
            <w:r w:rsidRPr="00A77D8A">
              <w:rPr>
                <w:sz w:val="21"/>
                <w:szCs w:val="21"/>
              </w:rPr>
              <w:t>.</w:t>
            </w:r>
          </w:p>
          <w:p w14:paraId="7837B1F0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</w:p>
          <w:p w14:paraId="0BB2303D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 xml:space="preserve">The author’s ethos is effectively developed as readers see that he is sympathetic to the struggles minorities face. </w:t>
            </w:r>
          </w:p>
        </w:tc>
        <w:tc>
          <w:tcPr>
            <w:tcW w:w="3273" w:type="dxa"/>
            <w:tcBorders>
              <w:top w:val="single" w:sz="4" w:space="0" w:color="000000"/>
              <w:bottom w:val="single" w:sz="18" w:space="0" w:color="000000"/>
            </w:tcBorders>
          </w:tcPr>
          <w:p w14:paraId="4DF144F0" w14:textId="77777777" w:rsidR="0089193F" w:rsidRDefault="0089193F" w:rsidP="006B0F33">
            <w:pPr>
              <w:ind w:right="-540"/>
              <w:rPr>
                <w:sz w:val="21"/>
                <w:szCs w:val="21"/>
              </w:rPr>
            </w:pPr>
          </w:p>
          <w:p w14:paraId="3BEE8E8B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When referencing 9/11, the auth</w:t>
            </w:r>
            <w:r>
              <w:rPr>
                <w:sz w:val="21"/>
                <w:szCs w:val="21"/>
              </w:rPr>
              <w:t xml:space="preserve">or is appealing to pathos. </w:t>
            </w:r>
            <w:r w:rsidRPr="00A77D8A">
              <w:rPr>
                <w:sz w:val="21"/>
                <w:szCs w:val="21"/>
              </w:rPr>
              <w:t>Here, he is eliciting both sadness and anger from his readers.</w:t>
            </w:r>
          </w:p>
          <w:p w14:paraId="49DF3ECA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</w:p>
          <w:p w14:paraId="1478B27D" w14:textId="77777777" w:rsidR="0089193F" w:rsidRPr="00A77D8A" w:rsidRDefault="0089193F" w:rsidP="006B0F33">
            <w:pPr>
              <w:ind w:right="-540"/>
              <w:rPr>
                <w:sz w:val="21"/>
                <w:szCs w:val="21"/>
              </w:rPr>
            </w:pPr>
            <w:r w:rsidRPr="00A77D8A">
              <w:rPr>
                <w:sz w:val="21"/>
                <w:szCs w:val="21"/>
              </w:rPr>
              <w:t>The author’s description of the child with cancer was a very persuasive appeal</w:t>
            </w:r>
            <w:r>
              <w:rPr>
                <w:sz w:val="21"/>
                <w:szCs w:val="21"/>
              </w:rPr>
              <w:t xml:space="preserve"> to </w:t>
            </w:r>
            <w:r w:rsidRPr="00A77D8A">
              <w:rPr>
                <w:sz w:val="21"/>
                <w:szCs w:val="21"/>
              </w:rPr>
              <w:t>pathos.</w:t>
            </w:r>
          </w:p>
        </w:tc>
      </w:tr>
    </w:tbl>
    <w:p w14:paraId="1BBF9247" w14:textId="77777777" w:rsidR="00B14592" w:rsidRDefault="00B14592"/>
    <w:sectPr w:rsidR="00B14592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4D90"/>
    <w:multiLevelType w:val="hybridMultilevel"/>
    <w:tmpl w:val="8F72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3F"/>
    <w:rsid w:val="0059604D"/>
    <w:rsid w:val="006B0F33"/>
    <w:rsid w:val="00745728"/>
    <w:rsid w:val="0089193F"/>
    <w:rsid w:val="00B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27C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3F"/>
    <w:rPr>
      <w:rFonts w:eastAsia="Calibri" w:cs="Times New Roman"/>
      <w:szCs w:val="22"/>
    </w:rPr>
  </w:style>
  <w:style w:type="paragraph" w:styleId="Heading2">
    <w:name w:val="heading 2"/>
    <w:basedOn w:val="Normal"/>
    <w:next w:val="Normal"/>
    <w:link w:val="Heading2Char"/>
    <w:qFormat/>
    <w:rsid w:val="0089193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193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891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3F"/>
    <w:rPr>
      <w:rFonts w:eastAsia="Calibri" w:cs="Times New Roman"/>
      <w:szCs w:val="22"/>
    </w:rPr>
  </w:style>
  <w:style w:type="paragraph" w:styleId="Heading2">
    <w:name w:val="heading 2"/>
    <w:basedOn w:val="Normal"/>
    <w:next w:val="Normal"/>
    <w:link w:val="Heading2Char"/>
    <w:qFormat/>
    <w:rsid w:val="0089193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193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89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Macintosh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2011-12-07T15:17:00Z</dcterms:created>
  <dcterms:modified xsi:type="dcterms:W3CDTF">2012-12-05T14:44:00Z</dcterms:modified>
</cp:coreProperties>
</file>